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2107" w14:textId="20F75EE7" w:rsidR="00217C65" w:rsidRDefault="00217C65" w:rsidP="00611F1B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</w:t>
      </w:r>
      <w:r w:rsidR="00670BFC">
        <w:rPr>
          <w:b/>
          <w:bCs/>
        </w:rPr>
        <w:t xml:space="preserve">CIRCULAR </w:t>
      </w:r>
      <w:r w:rsidR="008C28D5">
        <w:rPr>
          <w:b/>
          <w:bCs/>
        </w:rPr>
        <w:t xml:space="preserve">MISCELANEA </w:t>
      </w:r>
      <w:r>
        <w:rPr>
          <w:b/>
          <w:bCs/>
        </w:rPr>
        <w:t xml:space="preserve">QUE </w:t>
      </w:r>
      <w:r w:rsidR="00B7446B">
        <w:rPr>
          <w:b/>
          <w:bCs/>
        </w:rPr>
        <w:t>MODIFICA</w:t>
      </w:r>
      <w:r w:rsidR="008C28D5">
        <w:rPr>
          <w:b/>
          <w:bCs/>
        </w:rPr>
        <w:t xml:space="preserve"> LOS LIBROS</w:t>
      </w:r>
      <w:r w:rsidR="00B7446B">
        <w:rPr>
          <w:b/>
          <w:bCs/>
        </w:rPr>
        <w:t xml:space="preserve"> </w:t>
      </w:r>
      <w:r w:rsidR="00BF0297">
        <w:rPr>
          <w:b/>
          <w:bCs/>
        </w:rPr>
        <w:t xml:space="preserve">III, IV, VI, VIII </w:t>
      </w:r>
      <w:r w:rsidR="008C28D5">
        <w:rPr>
          <w:b/>
          <w:bCs/>
        </w:rPr>
        <w:t xml:space="preserve">Y </w:t>
      </w:r>
      <w:r w:rsidR="00B7446B">
        <w:rPr>
          <w:b/>
          <w:bCs/>
        </w:rPr>
        <w:t xml:space="preserve">IX </w:t>
      </w:r>
      <w:r>
        <w:rPr>
          <w:b/>
          <w:bCs/>
        </w:rPr>
        <w:t xml:space="preserve">DEL </w:t>
      </w:r>
      <w:r w:rsidRPr="0092657C">
        <w:rPr>
          <w:b/>
          <w:bCs/>
        </w:rPr>
        <w:t>COMPENDIO DE NORMAS DEL SEGURO SOCIAL DE ACCIDENTES DEL TRABAJO Y ENFERMEDADES PROFESIONALES DE LA LEY N°16.744</w:t>
      </w:r>
    </w:p>
    <w:p w14:paraId="64AFD61E" w14:textId="23F9210F" w:rsidR="00217C65" w:rsidRDefault="00217C65" w:rsidP="00611F1B">
      <w:pPr>
        <w:spacing w:before="120" w:after="120"/>
        <w:jc w:val="center"/>
        <w:rPr>
          <w:b/>
          <w:bCs/>
        </w:rPr>
      </w:pPr>
    </w:p>
    <w:p w14:paraId="2775FD44" w14:textId="77777777" w:rsidR="00436865" w:rsidRPr="0092657C" w:rsidRDefault="00436865" w:rsidP="00611F1B">
      <w:pPr>
        <w:spacing w:before="120" w:after="120"/>
        <w:jc w:val="center"/>
        <w:rPr>
          <w:b/>
          <w:bCs/>
        </w:rPr>
      </w:pPr>
    </w:p>
    <w:p w14:paraId="7AB1E4C6" w14:textId="4F55EB32" w:rsidR="00611F1B" w:rsidRDefault="003A4E79" w:rsidP="00611F1B">
      <w:pPr>
        <w:spacing w:before="120" w:after="120"/>
        <w:jc w:val="both"/>
      </w:pPr>
      <w:r>
        <w:t>E</w:t>
      </w:r>
      <w:r w:rsidRPr="003A4E79">
        <w:t>n virtud de las atribuciones que a esta Superintendencia confieren</w:t>
      </w:r>
      <w:r w:rsidR="00B13C12">
        <w:t xml:space="preserve"> </w:t>
      </w:r>
      <w:r w:rsidRPr="003A4E79">
        <w:t>los artículos 2° letra a)</w:t>
      </w:r>
      <w:r w:rsidR="00B7446B">
        <w:t xml:space="preserve"> y </w:t>
      </w:r>
      <w:r w:rsidRPr="003A4E79">
        <w:t>38 letra e) de la Ley N°16.395</w:t>
      </w:r>
      <w:r w:rsidR="00B7446B">
        <w:t>, este proyecto de circular</w:t>
      </w:r>
      <w:r w:rsidR="008C28D5">
        <w:t xml:space="preserve"> introduce </w:t>
      </w:r>
      <w:r w:rsidR="00BF0297">
        <w:t xml:space="preserve">diversas </w:t>
      </w:r>
      <w:r w:rsidR="008C28D5">
        <w:t xml:space="preserve">modificaciones </w:t>
      </w:r>
      <w:r w:rsidR="00436865">
        <w:t>a</w:t>
      </w:r>
      <w:r w:rsidR="008C28D5">
        <w:t xml:space="preserve"> los Libros III, IV, V</w:t>
      </w:r>
      <w:r w:rsidR="00436865">
        <w:t>I</w:t>
      </w:r>
      <w:r w:rsidR="00BF0297">
        <w:t>, VIII</w:t>
      </w:r>
      <w:r w:rsidR="008C28D5">
        <w:t xml:space="preserve"> y IX </w:t>
      </w:r>
      <w:r w:rsidR="00B7446B">
        <w:t>del C</w:t>
      </w:r>
      <w:r w:rsidR="0021552F">
        <w:t>ompendio</w:t>
      </w:r>
      <w:r w:rsidR="008C28D5">
        <w:t xml:space="preserve"> de Normas del Seguro de la Ley N°16.744</w:t>
      </w:r>
      <w:r w:rsidR="0021552F">
        <w:t xml:space="preserve">, </w:t>
      </w:r>
      <w:r w:rsidR="00436865">
        <w:t xml:space="preserve">referidas </w:t>
      </w:r>
      <w:r w:rsidR="00BF0297">
        <w:t xml:space="preserve">principalmente </w:t>
      </w:r>
      <w:r w:rsidR="00436865">
        <w:t xml:space="preserve">a </w:t>
      </w:r>
      <w:r w:rsidR="008C28D5">
        <w:t>lo</w:t>
      </w:r>
      <w:r w:rsidR="00BF0297">
        <w:t>s siguientes aspectos</w:t>
      </w:r>
      <w:r w:rsidR="00436865">
        <w:t>:</w:t>
      </w:r>
    </w:p>
    <w:p w14:paraId="36EB530B" w14:textId="01C68E16" w:rsidR="00563497" w:rsidRDefault="00563497" w:rsidP="00673F0E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Se explicita que los accidentes con ocasión del trabajo, pueden ocurrir inclusive fuera del lugar del trabajo, en concordancia con a</w:t>
      </w:r>
      <w:r w:rsidR="00733616">
        <w:t xml:space="preserve">lgunos de los ejemplos de accidentes de ese carácter </w:t>
      </w:r>
      <w:r w:rsidR="00E77A75">
        <w:t xml:space="preserve">ya </w:t>
      </w:r>
      <w:r w:rsidR="00733616">
        <w:t xml:space="preserve">contenidos en </w:t>
      </w:r>
      <w:r>
        <w:t>el número 2, Capítulo II, Letra A, del Libro III.</w:t>
      </w:r>
    </w:p>
    <w:p w14:paraId="60844874" w14:textId="243A201F" w:rsidR="00563497" w:rsidRDefault="00563497" w:rsidP="00673F0E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S</w:t>
      </w:r>
      <w:r w:rsidR="00733616">
        <w:t xml:space="preserve">e instruye </w:t>
      </w:r>
      <w:r>
        <w:t>notificar al trabajador o trabajadora y a su entidad empleadora</w:t>
      </w:r>
      <w:r w:rsidR="00733616">
        <w:t>, las RECA que recalifican el origen común o laboral de un accidente o de una enfermedad.</w:t>
      </w:r>
    </w:p>
    <w:p w14:paraId="70DCB805" w14:textId="4B2AAF4F" w:rsidR="00563497" w:rsidRDefault="00733616" w:rsidP="00611F1B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En virtud de lo resuelto por la Contraloría General de la República, se establece que</w:t>
      </w:r>
      <w:r w:rsidR="00E77A75">
        <w:t>,</w:t>
      </w:r>
      <w:r>
        <w:t xml:space="preserve"> por aplicación supletoria de la Ley N°19.880, los procesos de evaluación, revisión o reevaluación de las incapacidades permanentes que compete desarrollar a las COMPIN, deben concluir en el plazo de 6 meses previsto en su artículo 27.</w:t>
      </w:r>
    </w:p>
    <w:p w14:paraId="64712AFB" w14:textId="0D032DE4" w:rsidR="00E77A75" w:rsidRDefault="00E77A75" w:rsidP="00733616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Sobre los accidentes que afectan a quienes operan cámaras hiperbáricas desde su interior, se establece que solo deberán ser considerados como accidentes del trabajo graves, las explosiones o incendios y aquellos que les provoquen lesiones de gravedad clínica.</w:t>
      </w:r>
    </w:p>
    <w:p w14:paraId="7C2ACD7B" w14:textId="09BE8EA2" w:rsidR="00733616" w:rsidRDefault="004D324A" w:rsidP="00733616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E</w:t>
      </w:r>
      <w:r w:rsidR="00733616">
        <w:t>n armonía con lo indicado en la Circular N°3.813, sobre A</w:t>
      </w:r>
      <w:r w:rsidR="00733616" w:rsidRPr="00733616">
        <w:t>sistencia técnica para la prevención del acoso sexual, laboral y violencia en el trabajo</w:t>
      </w:r>
      <w:r w:rsidR="00733616">
        <w:t xml:space="preserve">, </w:t>
      </w:r>
      <w:r w:rsidR="00C00F6A">
        <w:t>se instruye considerar como un riesgo Categoría N°1, el incumplimiento de la prescripción de elaborar el protocolo de prevención de esas conductas.</w:t>
      </w:r>
    </w:p>
    <w:p w14:paraId="62F6C1D8" w14:textId="48C9EC06" w:rsidR="00BB3483" w:rsidRDefault="00BB3483" w:rsidP="0083133C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 xml:space="preserve">Se reemplaza un anexo del Libro VI, que grafica el procedimiento de cálculo de los subsidios por incapacidad laboral y </w:t>
      </w:r>
      <w:r w:rsidR="0083133C" w:rsidRPr="0083133C">
        <w:t>para la determinación de la remuneración afecta a impuesto</w:t>
      </w:r>
      <w:r w:rsidR="0083133C">
        <w:t xml:space="preserve">, se precisa </w:t>
      </w:r>
      <w:r>
        <w:t xml:space="preserve">el tope máximo de la exención al Impuesto de Segunda Categoría, en el caso de quienes tienen contratado un plan de salud por un monto superior al de </w:t>
      </w:r>
      <w:r w:rsidR="003F10AD">
        <w:t>l</w:t>
      </w:r>
      <w:r>
        <w:t>a cotización legal del 7%.</w:t>
      </w:r>
    </w:p>
    <w:p w14:paraId="2C607164" w14:textId="4423098A" w:rsidR="00E77A75" w:rsidRDefault="0083133C" w:rsidP="00436865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Se aclaran las instrucciones referidas a la continuidad de pago de los subsidios por incapacidad laboral y de las pensiones transitorias de invalidez total, durante los procesos de evaluación de incapacidad permanente, en conc</w:t>
      </w:r>
      <w:r w:rsidR="00436865">
        <w:t>ordancia con lo instruido en el Oficio N°</w:t>
      </w:r>
      <w:r>
        <w:t xml:space="preserve"> </w:t>
      </w:r>
      <w:r w:rsidR="00436865" w:rsidRPr="00436865">
        <w:t>O-01-ISESAT-01527-2024</w:t>
      </w:r>
      <w:r w:rsidR="00436865">
        <w:t>, de 25 de julio de 2024, y</w:t>
      </w:r>
    </w:p>
    <w:p w14:paraId="399D48BF" w14:textId="396AAD41" w:rsidR="00436865" w:rsidRDefault="00436865" w:rsidP="00436865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Por último, s</w:t>
      </w:r>
      <w:r w:rsidR="00611F1B" w:rsidRPr="00611F1B">
        <w:t>e</w:t>
      </w:r>
      <w:r w:rsidR="00611F1B">
        <w:t xml:space="preserve"> </w:t>
      </w:r>
      <w:r>
        <w:t>precisa que no se requiere el envío al SISESAT del Alta Médica (ALME), en los casos calificados como “no se detecta enfermedad” y “accidente sin lesión”.</w:t>
      </w:r>
    </w:p>
    <w:p w14:paraId="341152B2" w14:textId="5D726C6E" w:rsidR="00B64BF5" w:rsidRDefault="00217C65" w:rsidP="00436865">
      <w:pPr>
        <w:spacing w:before="120" w:after="120"/>
        <w:jc w:val="both"/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10A562BB" w14:textId="5FCA1E40" w:rsidR="00F455ED" w:rsidRDefault="00F455ED" w:rsidP="00611F1B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355EE7E9" w:rsidR="00F455ED" w:rsidRPr="001854AB" w:rsidRDefault="00F455ED" w:rsidP="00611F1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E22F3E">
              <w:rPr>
                <w:b/>
                <w:bCs/>
                <w:sz w:val="28"/>
                <w:szCs w:val="28"/>
              </w:rPr>
              <w:t>MISCELÁNEA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11F1B">
            <w:pPr>
              <w:spacing w:before="120" w:after="120"/>
            </w:pPr>
            <w:r>
              <w:t>Ejemplo:</w:t>
            </w:r>
          </w:p>
          <w:p w14:paraId="639F1C2F" w14:textId="77777777" w:rsidR="00F455ED" w:rsidRDefault="00F455ED" w:rsidP="00611F1B">
            <w:pPr>
              <w:spacing w:before="120" w:after="120"/>
            </w:pPr>
          </w:p>
          <w:p w14:paraId="6A092C2F" w14:textId="77777777" w:rsidR="00F455ED" w:rsidRDefault="00F455ED" w:rsidP="00611F1B">
            <w:pPr>
              <w:spacing w:before="120" w:after="120"/>
            </w:pPr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11F1B">
            <w:pPr>
              <w:spacing w:before="120" w:after="120"/>
            </w:pPr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11F1B">
            <w:pPr>
              <w:spacing w:before="120" w:after="120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08D17E22" w14:textId="77777777" w:rsidR="00F455ED" w:rsidRPr="00BD23B6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11F1B">
            <w:pPr>
              <w:spacing w:before="120" w:after="120"/>
            </w:pPr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11F1B">
            <w:pPr>
              <w:spacing w:before="120" w:after="120"/>
            </w:pPr>
          </w:p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2904375B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21CC6EC2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3AC1D401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38EF07CD" w14:textId="77777777" w:rsidR="00F455ED" w:rsidRDefault="00F455ED" w:rsidP="00611F1B">
            <w:pPr>
              <w:spacing w:before="120" w:after="120"/>
            </w:pPr>
          </w:p>
          <w:p w14:paraId="450B0A5B" w14:textId="77777777" w:rsidR="00F455ED" w:rsidRDefault="00F455ED" w:rsidP="00611F1B">
            <w:pPr>
              <w:spacing w:before="120" w:after="120"/>
            </w:pPr>
          </w:p>
          <w:p w14:paraId="53991874" w14:textId="77777777" w:rsidR="00F455ED" w:rsidRDefault="00F455ED" w:rsidP="00611F1B">
            <w:pPr>
              <w:spacing w:before="120" w:after="120"/>
            </w:pPr>
          </w:p>
          <w:p w14:paraId="334BFA5A" w14:textId="77777777" w:rsidR="00F455ED" w:rsidRDefault="00F455ED" w:rsidP="00611F1B">
            <w:pPr>
              <w:spacing w:before="120" w:after="120"/>
            </w:pPr>
          </w:p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217CB8BD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48C7FDFB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3B675F6C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07C498E4" w14:textId="77777777" w:rsidR="00F455ED" w:rsidRDefault="00F455ED" w:rsidP="00611F1B">
            <w:pPr>
              <w:spacing w:before="120" w:after="120"/>
            </w:pPr>
          </w:p>
          <w:p w14:paraId="1C2A1076" w14:textId="77777777" w:rsidR="00F455ED" w:rsidRDefault="00F455ED" w:rsidP="00611F1B">
            <w:pPr>
              <w:spacing w:before="120" w:after="120"/>
            </w:pPr>
          </w:p>
          <w:p w14:paraId="14C64A19" w14:textId="77777777" w:rsidR="00F455ED" w:rsidRDefault="00F455ED" w:rsidP="00611F1B">
            <w:pPr>
              <w:spacing w:before="120" w:after="120"/>
            </w:pPr>
          </w:p>
          <w:p w14:paraId="161562A6" w14:textId="77777777" w:rsidR="00F455ED" w:rsidRDefault="00F455ED" w:rsidP="00611F1B">
            <w:pPr>
              <w:spacing w:before="120" w:after="120"/>
            </w:pPr>
          </w:p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408F8083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5C4209D0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6C7F63CD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6E24973F" w14:textId="77777777" w:rsidR="00F455ED" w:rsidRDefault="00F455ED" w:rsidP="00611F1B">
            <w:pPr>
              <w:spacing w:before="120" w:after="120"/>
            </w:pPr>
          </w:p>
          <w:p w14:paraId="0CCB3BC2" w14:textId="77777777" w:rsidR="00F455ED" w:rsidRDefault="00F455ED" w:rsidP="00611F1B">
            <w:pPr>
              <w:spacing w:before="120" w:after="120"/>
            </w:pPr>
          </w:p>
          <w:p w14:paraId="6BC03C4B" w14:textId="77777777" w:rsidR="00F455ED" w:rsidRDefault="00F455ED" w:rsidP="00611F1B">
            <w:pPr>
              <w:spacing w:before="120" w:after="120"/>
            </w:pPr>
          </w:p>
          <w:p w14:paraId="48D5F9A3" w14:textId="77777777" w:rsidR="00F455ED" w:rsidRDefault="00F455ED" w:rsidP="00611F1B">
            <w:pPr>
              <w:spacing w:before="120" w:after="120"/>
            </w:pPr>
          </w:p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6FA0280F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6E2DC7CD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6D56E327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39554DB9" w14:textId="77777777" w:rsidR="00F455ED" w:rsidRDefault="00F455ED" w:rsidP="00611F1B">
            <w:pPr>
              <w:spacing w:before="120" w:after="120"/>
            </w:pPr>
          </w:p>
          <w:p w14:paraId="1893841B" w14:textId="77777777" w:rsidR="00F455ED" w:rsidRDefault="00F455ED" w:rsidP="00611F1B">
            <w:pPr>
              <w:spacing w:before="120" w:after="120"/>
            </w:pPr>
          </w:p>
          <w:p w14:paraId="6E3FC7BD" w14:textId="77777777" w:rsidR="00F455ED" w:rsidRDefault="00F455ED" w:rsidP="00611F1B">
            <w:pPr>
              <w:spacing w:before="120" w:after="120"/>
            </w:pPr>
          </w:p>
          <w:p w14:paraId="1FDE85E3" w14:textId="77777777" w:rsidR="00F455ED" w:rsidRDefault="00F455ED" w:rsidP="00611F1B">
            <w:pPr>
              <w:spacing w:before="120" w:after="120"/>
            </w:pPr>
          </w:p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28E421EC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52F63552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4A687BC8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25617E33" w14:textId="77777777" w:rsidR="00F455ED" w:rsidRDefault="00F455ED" w:rsidP="00611F1B">
            <w:pPr>
              <w:spacing w:before="120" w:after="120"/>
            </w:pPr>
          </w:p>
          <w:p w14:paraId="28333C80" w14:textId="77777777" w:rsidR="00F455ED" w:rsidRDefault="00F455ED" w:rsidP="00611F1B">
            <w:pPr>
              <w:spacing w:before="120" w:after="120"/>
            </w:pPr>
          </w:p>
          <w:p w14:paraId="50A4C966" w14:textId="77777777" w:rsidR="00F455ED" w:rsidRDefault="00F455ED" w:rsidP="00611F1B">
            <w:pPr>
              <w:spacing w:before="120" w:after="120"/>
            </w:pPr>
          </w:p>
          <w:p w14:paraId="5CCF3228" w14:textId="77777777" w:rsidR="00F455ED" w:rsidRDefault="00F455ED" w:rsidP="00611F1B">
            <w:pPr>
              <w:spacing w:before="120" w:after="120"/>
            </w:pPr>
          </w:p>
        </w:tc>
      </w:tr>
    </w:tbl>
    <w:p w14:paraId="0B18AED0" w14:textId="0F5024ED" w:rsidR="00F455ED" w:rsidRDefault="00F455ED" w:rsidP="00611F1B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86F2" w14:textId="77777777" w:rsidR="0099783F" w:rsidRDefault="0099783F" w:rsidP="00807ED0">
      <w:pPr>
        <w:spacing w:after="0" w:line="240" w:lineRule="auto"/>
      </w:pPr>
      <w:r>
        <w:separator/>
      </w:r>
    </w:p>
  </w:endnote>
  <w:endnote w:type="continuationSeparator" w:id="0">
    <w:p w14:paraId="5DB47465" w14:textId="77777777" w:rsidR="0099783F" w:rsidRDefault="0099783F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706AE419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97" w:rsidRPr="00BF0297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81C8" w14:textId="77777777" w:rsidR="0099783F" w:rsidRDefault="0099783F" w:rsidP="00807ED0">
      <w:pPr>
        <w:spacing w:after="0" w:line="240" w:lineRule="auto"/>
      </w:pPr>
      <w:r>
        <w:separator/>
      </w:r>
    </w:p>
  </w:footnote>
  <w:footnote w:type="continuationSeparator" w:id="0">
    <w:p w14:paraId="3576D47F" w14:textId="77777777" w:rsidR="0099783F" w:rsidRDefault="0099783F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12DF"/>
    <w:multiLevelType w:val="hybridMultilevel"/>
    <w:tmpl w:val="74647D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40924">
    <w:abstractNumId w:val="2"/>
  </w:num>
  <w:num w:numId="2" w16cid:durableId="1007949531">
    <w:abstractNumId w:val="7"/>
  </w:num>
  <w:num w:numId="3" w16cid:durableId="2027516982">
    <w:abstractNumId w:val="6"/>
  </w:num>
  <w:num w:numId="4" w16cid:durableId="1949577037">
    <w:abstractNumId w:val="3"/>
  </w:num>
  <w:num w:numId="5" w16cid:durableId="1019432191">
    <w:abstractNumId w:val="0"/>
  </w:num>
  <w:num w:numId="6" w16cid:durableId="328483471">
    <w:abstractNumId w:val="4"/>
  </w:num>
  <w:num w:numId="7" w16cid:durableId="247271617">
    <w:abstractNumId w:val="5"/>
  </w:num>
  <w:num w:numId="8" w16cid:durableId="1299068223">
    <w:abstractNumId w:val="1"/>
  </w:num>
  <w:num w:numId="9" w16cid:durableId="1511024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9C"/>
    <w:rsid w:val="00037E2D"/>
    <w:rsid w:val="000507D4"/>
    <w:rsid w:val="00056EB5"/>
    <w:rsid w:val="00071341"/>
    <w:rsid w:val="00081434"/>
    <w:rsid w:val="00084638"/>
    <w:rsid w:val="00085F6E"/>
    <w:rsid w:val="00107E1D"/>
    <w:rsid w:val="00113D3F"/>
    <w:rsid w:val="00124062"/>
    <w:rsid w:val="001240E3"/>
    <w:rsid w:val="00160560"/>
    <w:rsid w:val="00183CC0"/>
    <w:rsid w:val="001910DD"/>
    <w:rsid w:val="00197805"/>
    <w:rsid w:val="001C7E50"/>
    <w:rsid w:val="001F03AE"/>
    <w:rsid w:val="0021552F"/>
    <w:rsid w:val="00217C65"/>
    <w:rsid w:val="0023012A"/>
    <w:rsid w:val="00267CC4"/>
    <w:rsid w:val="00273D5B"/>
    <w:rsid w:val="002A0018"/>
    <w:rsid w:val="002A71C9"/>
    <w:rsid w:val="002E1694"/>
    <w:rsid w:val="002F3EE4"/>
    <w:rsid w:val="002F5BEA"/>
    <w:rsid w:val="00307A84"/>
    <w:rsid w:val="003108B2"/>
    <w:rsid w:val="003416E4"/>
    <w:rsid w:val="00344277"/>
    <w:rsid w:val="003510DD"/>
    <w:rsid w:val="00397EB0"/>
    <w:rsid w:val="003A4E79"/>
    <w:rsid w:val="003C5C11"/>
    <w:rsid w:val="003D236F"/>
    <w:rsid w:val="003F10AD"/>
    <w:rsid w:val="00436865"/>
    <w:rsid w:val="004A175F"/>
    <w:rsid w:val="004B2AE6"/>
    <w:rsid w:val="004B6D96"/>
    <w:rsid w:val="004C514E"/>
    <w:rsid w:val="004D324A"/>
    <w:rsid w:val="004D3971"/>
    <w:rsid w:val="004E5A19"/>
    <w:rsid w:val="004F38DF"/>
    <w:rsid w:val="005133CE"/>
    <w:rsid w:val="005262E2"/>
    <w:rsid w:val="00563497"/>
    <w:rsid w:val="00611F1B"/>
    <w:rsid w:val="006634D8"/>
    <w:rsid w:val="00670BFC"/>
    <w:rsid w:val="006A1900"/>
    <w:rsid w:val="006F330D"/>
    <w:rsid w:val="0072178D"/>
    <w:rsid w:val="00733616"/>
    <w:rsid w:val="00733B37"/>
    <w:rsid w:val="0075532F"/>
    <w:rsid w:val="0078545B"/>
    <w:rsid w:val="00785946"/>
    <w:rsid w:val="007B0E0C"/>
    <w:rsid w:val="007B2F73"/>
    <w:rsid w:val="007E7BC1"/>
    <w:rsid w:val="008002E8"/>
    <w:rsid w:val="00807ED0"/>
    <w:rsid w:val="008106D2"/>
    <w:rsid w:val="0083133C"/>
    <w:rsid w:val="00877956"/>
    <w:rsid w:val="008A503B"/>
    <w:rsid w:val="008C28D5"/>
    <w:rsid w:val="008C4414"/>
    <w:rsid w:val="008D1065"/>
    <w:rsid w:val="008D3DB3"/>
    <w:rsid w:val="008F10DB"/>
    <w:rsid w:val="00917FE0"/>
    <w:rsid w:val="0092657C"/>
    <w:rsid w:val="00974E94"/>
    <w:rsid w:val="00983360"/>
    <w:rsid w:val="00983BA0"/>
    <w:rsid w:val="00990B99"/>
    <w:rsid w:val="0099783F"/>
    <w:rsid w:val="009D0C00"/>
    <w:rsid w:val="009E3F44"/>
    <w:rsid w:val="009E5760"/>
    <w:rsid w:val="009F46AD"/>
    <w:rsid w:val="00A071EE"/>
    <w:rsid w:val="00A119D1"/>
    <w:rsid w:val="00A237EC"/>
    <w:rsid w:val="00A33652"/>
    <w:rsid w:val="00A36E4E"/>
    <w:rsid w:val="00A45B9C"/>
    <w:rsid w:val="00A54962"/>
    <w:rsid w:val="00A62422"/>
    <w:rsid w:val="00A631C7"/>
    <w:rsid w:val="00A83763"/>
    <w:rsid w:val="00AC2A04"/>
    <w:rsid w:val="00AD2B1D"/>
    <w:rsid w:val="00AF04D7"/>
    <w:rsid w:val="00B03110"/>
    <w:rsid w:val="00B13C12"/>
    <w:rsid w:val="00B317D3"/>
    <w:rsid w:val="00B35DB0"/>
    <w:rsid w:val="00B365C9"/>
    <w:rsid w:val="00B64BF5"/>
    <w:rsid w:val="00B73E83"/>
    <w:rsid w:val="00B7446B"/>
    <w:rsid w:val="00B84A94"/>
    <w:rsid w:val="00BB3483"/>
    <w:rsid w:val="00BC2129"/>
    <w:rsid w:val="00BE300C"/>
    <w:rsid w:val="00BF0297"/>
    <w:rsid w:val="00C00F6A"/>
    <w:rsid w:val="00C01815"/>
    <w:rsid w:val="00C238D3"/>
    <w:rsid w:val="00C35B22"/>
    <w:rsid w:val="00C60C7C"/>
    <w:rsid w:val="00CC174C"/>
    <w:rsid w:val="00D426DE"/>
    <w:rsid w:val="00D74401"/>
    <w:rsid w:val="00D9613F"/>
    <w:rsid w:val="00DB123A"/>
    <w:rsid w:val="00DB1DEF"/>
    <w:rsid w:val="00DB4FEB"/>
    <w:rsid w:val="00DD7884"/>
    <w:rsid w:val="00DF4DB7"/>
    <w:rsid w:val="00E11150"/>
    <w:rsid w:val="00E22F3E"/>
    <w:rsid w:val="00E358D2"/>
    <w:rsid w:val="00E4245E"/>
    <w:rsid w:val="00E77A75"/>
    <w:rsid w:val="00F03DBB"/>
    <w:rsid w:val="00F3484E"/>
    <w:rsid w:val="00F353C0"/>
    <w:rsid w:val="00F4243D"/>
    <w:rsid w:val="00F44745"/>
    <w:rsid w:val="00F455ED"/>
    <w:rsid w:val="00F63C41"/>
    <w:rsid w:val="00F77C3A"/>
    <w:rsid w:val="00F85D76"/>
    <w:rsid w:val="00FA26DE"/>
    <w:rsid w:val="00FA3D51"/>
    <w:rsid w:val="00FA4566"/>
    <w:rsid w:val="00FA4FAB"/>
    <w:rsid w:val="00FC03AA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Erick Aguilera</cp:lastModifiedBy>
  <cp:revision>9</cp:revision>
  <dcterms:created xsi:type="dcterms:W3CDTF">2024-08-30T12:13:00Z</dcterms:created>
  <dcterms:modified xsi:type="dcterms:W3CDTF">2024-08-30T15:25:00Z</dcterms:modified>
</cp:coreProperties>
</file>